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FA957" w14:textId="0121952C"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3GPP TSG RAN Meeting #77</w:t>
      </w:r>
      <w:r w:rsidRPr="00CB5B5E">
        <w:rPr>
          <w:rFonts w:ascii="Arial" w:hAnsi="Arial"/>
          <w:b/>
          <w:noProof/>
          <w:sz w:val="24"/>
          <w:lang w:eastAsia="en-US"/>
        </w:rPr>
        <w:tab/>
      </w:r>
      <w:r w:rsidR="003C111B" w:rsidRPr="003C111B">
        <w:rPr>
          <w:rFonts w:ascii="Arial" w:hAnsi="Arial"/>
          <w:b/>
          <w:noProof/>
          <w:sz w:val="24"/>
          <w:lang w:eastAsia="en-US"/>
        </w:rPr>
        <w:t>RP-171870</w:t>
      </w:r>
    </w:p>
    <w:p w14:paraId="5AA01C63" w14:textId="77777777"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Sapporo, Japan, 11 – 14 September 2017</w:t>
      </w:r>
      <w:r w:rsidRPr="00CB5B5E">
        <w:rPr>
          <w:rFonts w:ascii="Arial" w:hAnsi="Arial"/>
          <w:b/>
          <w:noProof/>
          <w:sz w:val="24"/>
          <w:lang w:eastAsia="en-US"/>
        </w:rPr>
        <w:tab/>
      </w:r>
    </w:p>
    <w:p w14:paraId="4B6DDB21" w14:textId="77777777" w:rsidR="006D6B31" w:rsidRDefault="006D6B31"/>
    <w:p w14:paraId="507C60AC" w14:textId="3109040B"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3C111B" w:rsidRPr="003C111B">
        <w:rPr>
          <w:rFonts w:eastAsiaTheme="minorEastAsia" w:cs="Arial" w:hint="eastAsia"/>
          <w:b/>
          <w:bCs/>
          <w:sz w:val="24"/>
          <w:lang w:val="en-US" w:eastAsia="en-JM"/>
        </w:rPr>
        <w:t>9.2.1</w:t>
      </w:r>
      <w:bookmarkStart w:id="0" w:name="_GoBack"/>
      <w:bookmarkEnd w:id="0"/>
    </w:p>
    <w:p w14:paraId="4E957E99" w14:textId="5509657C"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5826A4CC" w14:textId="00FC9927"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3C111B" w:rsidRPr="003C111B">
        <w:rPr>
          <w:rFonts w:ascii="Arial" w:hAnsi="Arial" w:cs="Arial"/>
          <w:b/>
          <w:bCs/>
          <w:sz w:val="24"/>
        </w:rPr>
        <w:t>Capability handling for single uplink in NR</w:t>
      </w:r>
    </w:p>
    <w:p w14:paraId="5D8D118E" w14:textId="60D29CC9"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3C111B">
        <w:rPr>
          <w:rFonts w:ascii="Arial" w:hAnsi="Arial" w:cs="Arial" w:hint="eastAsia"/>
          <w:b/>
          <w:bCs/>
          <w:sz w:val="24"/>
          <w:lang w:eastAsia="zh-CN"/>
        </w:rPr>
        <w:t>Discussion</w:t>
      </w:r>
    </w:p>
    <w:p w14:paraId="07E76090" w14:textId="2E9165DC" w:rsidR="006D6B31" w:rsidRDefault="003C111B" w:rsidP="006D6B31">
      <w:pPr>
        <w:pStyle w:val="Heading1"/>
      </w:pPr>
      <w:r>
        <w:t>Introduction</w:t>
      </w:r>
    </w:p>
    <w:p w14:paraId="77D8DB45" w14:textId="30623C3A" w:rsidR="00595DA4" w:rsidRDefault="00CF1916">
      <w:pPr>
        <w:rPr>
          <w:lang w:eastAsia="zh-CN"/>
        </w:rPr>
      </w:pPr>
      <w:r>
        <w:rPr>
          <w:lang w:eastAsia="zh-CN"/>
        </w:rPr>
        <w:t>Working</w:t>
      </w:r>
      <w:r w:rsidR="003C111B">
        <w:rPr>
          <w:lang w:eastAsia="zh-CN"/>
        </w:rPr>
        <w:t xml:space="preserve"> groups have been discussing how to handle band combinations for which it would be difficult or impossible for a UE to support simultaneous uplink transmissions because of intermodulation issues. Although RAN1 made good progress on solutions, RAN2 and RAN4 could not progress </w:t>
      </w:r>
      <w:r w:rsidR="00122E8B">
        <w:rPr>
          <w:lang w:eastAsia="zh-CN"/>
        </w:rPr>
        <w:t xml:space="preserve">(or even agree to exchange LS) </w:t>
      </w:r>
      <w:r w:rsidR="003C111B">
        <w:rPr>
          <w:lang w:eastAsia="zh-CN"/>
        </w:rPr>
        <w:t xml:space="preserve">at the last </w:t>
      </w:r>
      <w:r w:rsidR="00122E8B">
        <w:rPr>
          <w:lang w:eastAsia="zh-CN"/>
        </w:rPr>
        <w:t xml:space="preserve">WG </w:t>
      </w:r>
      <w:r w:rsidR="003C111B">
        <w:rPr>
          <w:lang w:eastAsia="zh-CN"/>
        </w:rPr>
        <w:t>meetings due to the lack of common understanding on handling of possible UE capabilities or even on the need to report or mandate certain UE capabilities. In order to avoid a deadlock on this topic in the working groups, it is proposed that RAN resolve the matter at RAN#77</w:t>
      </w:r>
      <w:r w:rsidR="00190BE5">
        <w:rPr>
          <w:lang w:eastAsia="zh-CN"/>
        </w:rPr>
        <w:t>, or provides sufficient guidance for resolving the issue in WGs (e.g. assigning the task to a single WG)</w:t>
      </w:r>
      <w:r w:rsidR="003C111B">
        <w:rPr>
          <w:lang w:eastAsia="zh-CN"/>
        </w:rPr>
        <w:t>.</w:t>
      </w:r>
    </w:p>
    <w:p w14:paraId="46D695BA" w14:textId="43AD3797" w:rsidR="003C111B" w:rsidRPr="003C111B" w:rsidRDefault="003C111B">
      <w:pPr>
        <w:rPr>
          <w:lang w:val="en-US" w:eastAsia="zh-CN"/>
        </w:rPr>
      </w:pPr>
      <w:r>
        <w:rPr>
          <w:lang w:eastAsia="zh-CN"/>
        </w:rPr>
        <w:t>This topic is sometimes referred to as “1Tx UE”, although this may be confusing since the discussion is about supporting simultaneous uplink or only support</w:t>
      </w:r>
      <w:r w:rsidR="00190BE5">
        <w:rPr>
          <w:lang w:eastAsia="zh-CN"/>
        </w:rPr>
        <w:t>ing</w:t>
      </w:r>
      <w:r>
        <w:rPr>
          <w:lang w:eastAsia="zh-CN"/>
        </w:rPr>
        <w:t xml:space="preserve"> non-simultaneous uplink for certain problematic band combinations, but is not tightly related to the UE hardware capability in terms of number of transmit antennas or transmit chains. Therefore, here we simply refer to non-simultaneous vs. </w:t>
      </w:r>
      <w:r w:rsidR="00CF1916">
        <w:rPr>
          <w:lang w:eastAsia="zh-CN"/>
        </w:rPr>
        <w:t>simultaneous</w:t>
      </w:r>
      <w:r>
        <w:rPr>
          <w:lang w:eastAsia="zh-CN"/>
        </w:rPr>
        <w:t xml:space="preserve"> uplink.</w:t>
      </w:r>
    </w:p>
    <w:p w14:paraId="5560E645" w14:textId="20AEF018" w:rsidR="00595DA4" w:rsidRDefault="003C111B" w:rsidP="00595DA4">
      <w:pPr>
        <w:pStyle w:val="Heading1"/>
      </w:pPr>
      <w:r>
        <w:t>Discussion</w:t>
      </w:r>
    </w:p>
    <w:p w14:paraId="5D4195AA" w14:textId="3366AD18" w:rsidR="003B683D" w:rsidRPr="003C111B" w:rsidRDefault="00533E8A" w:rsidP="003C111B">
      <w:pPr>
        <w:numPr>
          <w:ilvl w:val="0"/>
          <w:numId w:val="28"/>
        </w:numPr>
        <w:rPr>
          <w:lang w:val="en-US"/>
        </w:rPr>
      </w:pPr>
      <w:r w:rsidRPr="003C111B">
        <w:rPr>
          <w:lang w:val="en-US"/>
        </w:rPr>
        <w:t>RAN2 could not reach a decision on UE capability</w:t>
      </w:r>
      <w:r w:rsidR="003C111B">
        <w:rPr>
          <w:lang w:val="en-US"/>
        </w:rPr>
        <w:t xml:space="preserve"> (extract from chairman’s notes)</w:t>
      </w:r>
      <w:r w:rsidRPr="003C111B">
        <w:rPr>
          <w:lang w:val="en-US"/>
        </w:rPr>
        <w:t>:</w:t>
      </w:r>
    </w:p>
    <w:p w14:paraId="38178216" w14:textId="77777777" w:rsidR="003B683D" w:rsidRPr="003C111B" w:rsidRDefault="00533E8A" w:rsidP="003C111B">
      <w:pPr>
        <w:numPr>
          <w:ilvl w:val="1"/>
          <w:numId w:val="28"/>
        </w:numPr>
        <w:rPr>
          <w:lang w:val="en-US"/>
        </w:rPr>
      </w:pPr>
      <w:r w:rsidRPr="003C111B">
        <w:t>Draft LS to RAN4 to ask if a UE capability "need for 1 Tx operation" is required (e.g. if the need for 1 Tx operation applies to all operating with a given band combination or only some UEs), and if so with what granularity it should be provided (e.g. per band combination). (Nokia, Offline discussion #31). Draft LS in R2-1709843. The LS was not sent.</w:t>
      </w:r>
    </w:p>
    <w:p w14:paraId="299E2C41" w14:textId="64DE2FD3" w:rsidR="003B683D" w:rsidRPr="003C111B" w:rsidRDefault="00533E8A" w:rsidP="003C111B">
      <w:pPr>
        <w:numPr>
          <w:ilvl w:val="0"/>
          <w:numId w:val="28"/>
        </w:numPr>
        <w:rPr>
          <w:lang w:val="en-US"/>
        </w:rPr>
      </w:pPr>
      <w:r w:rsidRPr="003C111B">
        <w:t xml:space="preserve">RAN4 could not </w:t>
      </w:r>
      <w:r w:rsidRPr="003C111B">
        <w:rPr>
          <w:lang w:val="en-US"/>
        </w:rPr>
        <w:t>reach a decision on how to identify problematic combinations</w:t>
      </w:r>
      <w:r w:rsidR="003C111B">
        <w:rPr>
          <w:lang w:val="en-US"/>
        </w:rPr>
        <w:t xml:space="preserve"> (extract from chairman’s notes):</w:t>
      </w:r>
    </w:p>
    <w:p w14:paraId="3414764E" w14:textId="77777777" w:rsidR="003B683D" w:rsidRPr="003C111B" w:rsidRDefault="00533E8A" w:rsidP="003C111B">
      <w:pPr>
        <w:numPr>
          <w:ilvl w:val="1"/>
          <w:numId w:val="28"/>
        </w:numPr>
        <w:rPr>
          <w:lang w:val="en-US"/>
        </w:rPr>
      </w:pPr>
      <w:r w:rsidRPr="003C111B">
        <w:rPr>
          <w:lang w:val="en-US"/>
        </w:rPr>
        <w:t>R4-1707596 NR supporting 1Tx UE in LTE-NR UL Dual Connectivity</w:t>
      </w:r>
    </w:p>
    <w:p w14:paraId="100B6D20" w14:textId="77777777" w:rsidR="003B683D" w:rsidRPr="003C111B" w:rsidRDefault="00533E8A" w:rsidP="003C111B">
      <w:pPr>
        <w:numPr>
          <w:ilvl w:val="2"/>
          <w:numId w:val="28"/>
        </w:numPr>
        <w:rPr>
          <w:lang w:val="en-US"/>
        </w:rPr>
      </w:pPr>
      <w:r w:rsidRPr="003C111B">
        <w:rPr>
          <w:lang w:val="en-US"/>
        </w:rPr>
        <w:t>Apple: On table 1 last column, is this automatic?</w:t>
      </w:r>
    </w:p>
    <w:p w14:paraId="21660F7C" w14:textId="77777777" w:rsidR="003B683D" w:rsidRPr="003C111B" w:rsidRDefault="00533E8A" w:rsidP="003C111B">
      <w:pPr>
        <w:numPr>
          <w:ilvl w:val="2"/>
          <w:numId w:val="28"/>
        </w:numPr>
        <w:rPr>
          <w:lang w:val="en-US"/>
        </w:rPr>
      </w:pPr>
      <w:r w:rsidRPr="003C111B">
        <w:rPr>
          <w:lang w:val="en-US"/>
        </w:rPr>
        <w:t>Intel: do you have any metric to decide which one is challenging?</w:t>
      </w:r>
    </w:p>
    <w:p w14:paraId="636CDDFD" w14:textId="77777777" w:rsidR="003B683D" w:rsidRPr="003C111B" w:rsidRDefault="00533E8A" w:rsidP="003C111B">
      <w:pPr>
        <w:numPr>
          <w:ilvl w:val="2"/>
          <w:numId w:val="28"/>
        </w:numPr>
        <w:rPr>
          <w:lang w:val="en-US"/>
        </w:rPr>
      </w:pPr>
      <w:r w:rsidRPr="003C111B">
        <w:rPr>
          <w:lang w:val="en-US"/>
        </w:rPr>
        <w:t>Qualcomm: as solution, we can use other ca configuration. For lte, we have already identified which are problematic. The similar MSD would be assumed.</w:t>
      </w:r>
    </w:p>
    <w:p w14:paraId="628D19DC" w14:textId="77777777" w:rsidR="003B683D" w:rsidRPr="003C111B" w:rsidRDefault="00533E8A" w:rsidP="003C111B">
      <w:pPr>
        <w:numPr>
          <w:ilvl w:val="2"/>
          <w:numId w:val="28"/>
        </w:numPr>
        <w:rPr>
          <w:lang w:val="en-US"/>
        </w:rPr>
      </w:pPr>
      <w:r w:rsidRPr="003C111B">
        <w:rPr>
          <w:lang w:val="en-US"/>
        </w:rPr>
        <w:t>LGE: This proposal is only for Rel15? This is Harmonic IMD due to dual transmission. Which band combination is problematic should be derived from co-existence analysis.</w:t>
      </w:r>
    </w:p>
    <w:p w14:paraId="5A25FCCA" w14:textId="77777777" w:rsidR="003B683D" w:rsidRPr="003C111B" w:rsidRDefault="00533E8A" w:rsidP="003C111B">
      <w:pPr>
        <w:numPr>
          <w:ilvl w:val="2"/>
          <w:numId w:val="28"/>
        </w:numPr>
        <w:rPr>
          <w:lang w:val="en-US"/>
        </w:rPr>
      </w:pPr>
      <w:r w:rsidRPr="003C111B">
        <w:rPr>
          <w:lang w:val="en-US"/>
        </w:rPr>
        <w:t xml:space="preserve">Nokia: For apple, the table indicates problematic combinations. For Intel, as Qualcomm mentioned, we can reuse the similar metric as we have done in LTE CA. For LGE, this is not only for Rel15 but rather all releases. </w:t>
      </w:r>
    </w:p>
    <w:p w14:paraId="7E5FB27D" w14:textId="77777777" w:rsidR="003B683D" w:rsidRPr="003C111B" w:rsidRDefault="00533E8A" w:rsidP="003C111B">
      <w:pPr>
        <w:numPr>
          <w:ilvl w:val="1"/>
          <w:numId w:val="28"/>
        </w:numPr>
        <w:rPr>
          <w:lang w:val="en-US"/>
        </w:rPr>
      </w:pPr>
      <w:r w:rsidRPr="003C111B">
        <w:rPr>
          <w:lang w:val="en-US"/>
        </w:rPr>
        <w:t>Chair note: Clarification on how to identify the problematic combination and how to apply capability need to be discussed further.</w:t>
      </w:r>
    </w:p>
    <w:p w14:paraId="384F4ED6" w14:textId="77777777" w:rsidR="003B683D" w:rsidRPr="003C111B" w:rsidRDefault="00533E8A" w:rsidP="003C111B">
      <w:pPr>
        <w:numPr>
          <w:ilvl w:val="1"/>
          <w:numId w:val="28"/>
        </w:numPr>
        <w:rPr>
          <w:lang w:val="en-US"/>
        </w:rPr>
      </w:pPr>
      <w:r w:rsidRPr="003C111B">
        <w:rPr>
          <w:lang w:val="en-US"/>
        </w:rPr>
        <w:t>Decision: The document was noted.</w:t>
      </w:r>
    </w:p>
    <w:p w14:paraId="3CE18E5C" w14:textId="673A705F" w:rsidR="00EF02C8" w:rsidRDefault="003C111B" w:rsidP="00D064A8">
      <w:pPr>
        <w:rPr>
          <w:lang w:val="en-US"/>
        </w:rPr>
      </w:pPr>
      <w:r>
        <w:rPr>
          <w:rFonts w:hint="eastAsia"/>
          <w:lang w:val="en-US"/>
        </w:rPr>
        <w:lastRenderedPageBreak/>
        <w:t xml:space="preserve">While the concerns </w:t>
      </w:r>
      <w:r w:rsidR="00190BE5">
        <w:rPr>
          <w:rFonts w:hint="eastAsia"/>
          <w:lang w:val="en-US"/>
        </w:rPr>
        <w:t>abo</w:t>
      </w:r>
      <w:r w:rsidR="00190BE5">
        <w:rPr>
          <w:lang w:val="en-US"/>
        </w:rPr>
        <w:t>ve</w:t>
      </w:r>
      <w:r w:rsidR="00190BE5">
        <w:rPr>
          <w:rFonts w:hint="eastAsia"/>
          <w:lang w:val="en-US"/>
        </w:rPr>
        <w:t xml:space="preserve"> </w:t>
      </w:r>
      <w:r>
        <w:rPr>
          <w:rFonts w:hint="eastAsia"/>
          <w:lang w:val="en-US"/>
        </w:rPr>
        <w:t>are valid</w:t>
      </w:r>
      <w:r>
        <w:rPr>
          <w:lang w:val="en-US"/>
        </w:rPr>
        <w:t xml:space="preserve">, it should be clear by now that there will be dual connectivity band combinations for which UEs cannot reasonably be expected to </w:t>
      </w:r>
      <w:r w:rsidR="00190BE5">
        <w:rPr>
          <w:lang w:val="en-US"/>
        </w:rPr>
        <w:t xml:space="preserve">always </w:t>
      </w:r>
      <w:r>
        <w:rPr>
          <w:lang w:val="en-US"/>
        </w:rPr>
        <w:t>support simultaneous uplink transmissions, while in other dual connectivity band combinations it should be reasonable to expect all UEs to support simultaneous uplink transmissions. Although it takes studies to determine which band combination</w:t>
      </w:r>
      <w:r w:rsidR="00190BE5">
        <w:rPr>
          <w:lang w:val="en-US"/>
        </w:rPr>
        <w:t>s</w:t>
      </w:r>
      <w:r>
        <w:rPr>
          <w:lang w:val="en-US"/>
        </w:rPr>
        <w:t xml:space="preserve"> definitely will have such issues, there is no other way but for RAN4 to conduct those studies, reusing as much as possible the knowledge developed with LTE.</w:t>
      </w:r>
    </w:p>
    <w:p w14:paraId="6D79BA74" w14:textId="7989146F" w:rsidR="003C111B" w:rsidRDefault="003C111B" w:rsidP="00D064A8">
      <w:r>
        <w:rPr>
          <w:rFonts w:hint="eastAsia"/>
          <w:lang w:val="en-US"/>
        </w:rPr>
        <w:t>From this</w:t>
      </w:r>
      <w:r>
        <w:rPr>
          <w:lang w:val="en-US"/>
        </w:rPr>
        <w:t xml:space="preserve">, given that </w:t>
      </w:r>
      <w:r w:rsidR="001D034C">
        <w:rPr>
          <w:lang w:val="en-US"/>
        </w:rPr>
        <w:t>it should be straightforward for all UEs to follow the network instructions either signal</w:t>
      </w:r>
      <w:r w:rsidR="00190BE5">
        <w:rPr>
          <w:lang w:val="en-US"/>
        </w:rPr>
        <w:t>ed</w:t>
      </w:r>
      <w:r w:rsidR="001D034C">
        <w:rPr>
          <w:lang w:val="en-US"/>
        </w:rPr>
        <w:t xml:space="preserve"> by scheduling decisions or configured TDM patterns that ensure non-simultaneous transmissions, there should be no need for a UE to report that it can be configured to operate with non-simultaneous uplink. In general, it should be expected from the network to operate UEs with simultaneous uplink unless the network receives </w:t>
      </w:r>
      <w:r w:rsidR="00CF1916">
        <w:rPr>
          <w:lang w:val="en-US"/>
        </w:rPr>
        <w:t>explicitly</w:t>
      </w:r>
      <w:r w:rsidR="001D034C">
        <w:rPr>
          <w:lang w:val="en-US"/>
        </w:rPr>
        <w:t xml:space="preserve"> indication from the UE that the UE cannot support simultaneous uplink. Therefore, the natural resolution of this issue is to allow UEs to </w:t>
      </w:r>
      <w:r w:rsidR="00190BE5">
        <w:rPr>
          <w:lang w:val="en-US"/>
        </w:rPr>
        <w:t>signal that the UE cannot</w:t>
      </w:r>
      <w:r w:rsidR="001D034C">
        <w:rPr>
          <w:lang w:val="en-US"/>
        </w:rPr>
        <w:t xml:space="preserve"> perform simultaneous uplink transmissions</w:t>
      </w:r>
      <w:r w:rsidR="00190BE5">
        <w:rPr>
          <w:lang w:val="en-US"/>
        </w:rPr>
        <w:t xml:space="preserve"> when a problem like IMD occurs</w:t>
      </w:r>
      <w:r w:rsidR="001D034C">
        <w:rPr>
          <w:lang w:val="en-US"/>
        </w:rPr>
        <w:t>.</w:t>
      </w:r>
    </w:p>
    <w:p w14:paraId="4FC41F57" w14:textId="77777777" w:rsidR="00122E8B" w:rsidRPr="001D034C" w:rsidRDefault="00122E8B" w:rsidP="00122E8B">
      <w:pPr>
        <w:rPr>
          <w:b/>
          <w:lang w:val="en-US" w:eastAsia="zh-CN"/>
        </w:rPr>
      </w:pPr>
      <w:r w:rsidRPr="001D034C">
        <w:rPr>
          <w:rFonts w:hint="eastAsia"/>
          <w:b/>
          <w:lang w:val="en-US" w:eastAsia="zh-CN"/>
        </w:rPr>
        <w:t>Proposal:</w:t>
      </w:r>
      <w:r w:rsidRPr="001D034C">
        <w:rPr>
          <w:b/>
          <w:lang w:val="en-US" w:eastAsia="zh-CN"/>
        </w:rPr>
        <w:t xml:space="preserve"> </w:t>
      </w:r>
      <w:r>
        <w:rPr>
          <w:b/>
          <w:lang w:val="en-US" w:eastAsia="zh-CN"/>
        </w:rPr>
        <w:t xml:space="preserve">A NR </w:t>
      </w:r>
      <w:r w:rsidRPr="001D034C">
        <w:rPr>
          <w:b/>
          <w:bCs/>
          <w:lang w:eastAsia="zh-CN"/>
        </w:rPr>
        <w:t xml:space="preserve">UE should be able to </w:t>
      </w:r>
      <w:r>
        <w:rPr>
          <w:b/>
          <w:bCs/>
          <w:lang w:eastAsia="zh-CN"/>
        </w:rPr>
        <w:t>signal</w:t>
      </w:r>
      <w:r w:rsidRPr="001D034C">
        <w:rPr>
          <w:b/>
          <w:bCs/>
          <w:lang w:eastAsia="zh-CN"/>
        </w:rPr>
        <w:t xml:space="preserve"> that </w:t>
      </w:r>
      <w:r>
        <w:rPr>
          <w:b/>
          <w:bCs/>
          <w:lang w:eastAsia="zh-CN"/>
        </w:rPr>
        <w:t>it cannot perform</w:t>
      </w:r>
      <w:r w:rsidRPr="001D034C">
        <w:rPr>
          <w:b/>
          <w:bCs/>
          <w:lang w:eastAsia="zh-CN"/>
        </w:rPr>
        <w:t xml:space="preserve"> simultaneous uplink transmission between </w:t>
      </w:r>
      <w:r>
        <w:rPr>
          <w:b/>
          <w:bCs/>
          <w:lang w:eastAsia="zh-CN"/>
        </w:rPr>
        <w:t>uplink carriers</w:t>
      </w:r>
      <w:r w:rsidRPr="001D034C">
        <w:rPr>
          <w:b/>
          <w:bCs/>
          <w:lang w:eastAsia="zh-CN"/>
        </w:rPr>
        <w:t xml:space="preserve"> in a supported band combination</w:t>
      </w:r>
      <w:r w:rsidRPr="001D034C">
        <w:rPr>
          <w:b/>
          <w:lang w:eastAsia="zh-CN"/>
        </w:rPr>
        <w:t xml:space="preserve">. This </w:t>
      </w:r>
      <w:r>
        <w:rPr>
          <w:b/>
          <w:lang w:eastAsia="zh-CN"/>
        </w:rPr>
        <w:t xml:space="preserve">signaling should be </w:t>
      </w:r>
      <w:r w:rsidRPr="001D034C">
        <w:rPr>
          <w:b/>
          <w:lang w:eastAsia="zh-CN"/>
        </w:rPr>
        <w:t>allowed for band combinations</w:t>
      </w:r>
      <w:r>
        <w:rPr>
          <w:b/>
          <w:lang w:eastAsia="zh-CN"/>
        </w:rPr>
        <w:t xml:space="preserve"> where </w:t>
      </w:r>
      <w:r w:rsidRPr="001D034C">
        <w:rPr>
          <w:b/>
          <w:lang w:eastAsia="zh-CN"/>
        </w:rPr>
        <w:t>UEs cannot reasonably be expected to support si</w:t>
      </w:r>
      <w:r>
        <w:rPr>
          <w:b/>
          <w:lang w:eastAsia="zh-CN"/>
        </w:rPr>
        <w:t>multaneous uplink transmissions</w:t>
      </w:r>
      <w:r w:rsidRPr="00276AC3">
        <w:rPr>
          <w:b/>
          <w:lang w:eastAsia="zh-CN"/>
        </w:rPr>
        <w:t xml:space="preserve"> </w:t>
      </w:r>
      <w:r>
        <w:rPr>
          <w:b/>
          <w:lang w:eastAsia="zh-CN"/>
        </w:rPr>
        <w:t>without serious performance degradation</w:t>
      </w:r>
      <w:r w:rsidRPr="001D034C">
        <w:rPr>
          <w:b/>
          <w:lang w:eastAsia="zh-CN"/>
        </w:rPr>
        <w:t xml:space="preserve">. By default the network assumes that the UE supports simultaneous uplink transmission on all the UL carriers of </w:t>
      </w:r>
      <w:r>
        <w:rPr>
          <w:b/>
          <w:lang w:eastAsia="zh-CN"/>
        </w:rPr>
        <w:t>a</w:t>
      </w:r>
      <w:r w:rsidRPr="001D034C">
        <w:rPr>
          <w:b/>
          <w:lang w:eastAsia="zh-CN"/>
        </w:rPr>
        <w:t xml:space="preserve"> band combination</w:t>
      </w:r>
      <w:r>
        <w:rPr>
          <w:b/>
          <w:lang w:eastAsia="zh-CN"/>
        </w:rPr>
        <w:t xml:space="preserve"> unless the network receives signaling from the UE telling otherwise.</w:t>
      </w:r>
    </w:p>
    <w:p w14:paraId="0B697500" w14:textId="77777777" w:rsidR="00521F3D" w:rsidRDefault="00521F3D" w:rsidP="00521F3D">
      <w:pPr>
        <w:pStyle w:val="Heading1"/>
      </w:pPr>
      <w:r>
        <w:t>Conclusion</w:t>
      </w:r>
    </w:p>
    <w:p w14:paraId="67BA3E70" w14:textId="74EA7887" w:rsidR="00E35277" w:rsidRDefault="001E2BBB" w:rsidP="00521F3D">
      <w:pPr>
        <w:rPr>
          <w:lang w:eastAsia="zh-CN"/>
        </w:rPr>
      </w:pPr>
      <w:r>
        <w:rPr>
          <w:lang w:eastAsia="zh-CN"/>
        </w:rPr>
        <w:t>This paper</w:t>
      </w:r>
      <w:r w:rsidR="001D034C">
        <w:rPr>
          <w:lang w:eastAsia="zh-CN"/>
        </w:rPr>
        <w:t xml:space="preserve"> proposes that RAN resolves the discussion on the support of simultaneous vs. non-simultaneous uplink in band combinations </w:t>
      </w:r>
      <w:r w:rsidR="001D034C" w:rsidRPr="001D034C">
        <w:rPr>
          <w:lang w:eastAsia="zh-CN"/>
        </w:rPr>
        <w:t>where UEs cannot reasonably be expected to support simultaneous uplink transmissions</w:t>
      </w:r>
      <w:r w:rsidR="00190BE5">
        <w:rPr>
          <w:lang w:eastAsia="zh-CN"/>
        </w:rPr>
        <w:t xml:space="preserve"> </w:t>
      </w:r>
      <w:r w:rsidR="00190BE5" w:rsidRPr="00350971">
        <w:rPr>
          <w:lang w:eastAsia="zh-CN"/>
        </w:rPr>
        <w:t>without serious performance degradation</w:t>
      </w:r>
      <w:r w:rsidR="001D034C">
        <w:rPr>
          <w:lang w:eastAsia="zh-CN"/>
        </w:rPr>
        <w:t>, since this discussion could not be resolved in RAN2 and RAN4 at the last WG meetings and creates the risk of a deadlock.</w:t>
      </w:r>
    </w:p>
    <w:p w14:paraId="4A68A70A" w14:textId="1C9FED20" w:rsidR="001D034C" w:rsidRPr="001D034C" w:rsidRDefault="001D034C" w:rsidP="001D034C">
      <w:pPr>
        <w:rPr>
          <w:b/>
          <w:lang w:val="en-US" w:eastAsia="zh-CN"/>
        </w:rPr>
      </w:pPr>
      <w:r w:rsidRPr="001D034C">
        <w:rPr>
          <w:rFonts w:hint="eastAsia"/>
          <w:b/>
          <w:lang w:val="en-US" w:eastAsia="zh-CN"/>
        </w:rPr>
        <w:t>Proposal:</w:t>
      </w:r>
      <w:r w:rsidRPr="001D034C">
        <w:rPr>
          <w:b/>
          <w:lang w:val="en-US" w:eastAsia="zh-CN"/>
        </w:rPr>
        <w:t xml:space="preserve"> </w:t>
      </w:r>
      <w:r>
        <w:rPr>
          <w:b/>
          <w:lang w:val="en-US" w:eastAsia="zh-CN"/>
        </w:rPr>
        <w:t xml:space="preserve">A NR </w:t>
      </w:r>
      <w:r w:rsidRPr="001D034C">
        <w:rPr>
          <w:b/>
          <w:bCs/>
          <w:lang w:eastAsia="zh-CN"/>
        </w:rPr>
        <w:t xml:space="preserve">UE should be able to </w:t>
      </w:r>
      <w:r w:rsidR="00122E8B">
        <w:rPr>
          <w:b/>
          <w:bCs/>
          <w:lang w:eastAsia="zh-CN"/>
        </w:rPr>
        <w:t>signal</w:t>
      </w:r>
      <w:r w:rsidR="00122E8B" w:rsidRPr="001D034C">
        <w:rPr>
          <w:b/>
          <w:bCs/>
          <w:lang w:eastAsia="zh-CN"/>
        </w:rPr>
        <w:t xml:space="preserve"> </w:t>
      </w:r>
      <w:r w:rsidRPr="001D034C">
        <w:rPr>
          <w:b/>
          <w:bCs/>
          <w:lang w:eastAsia="zh-CN"/>
        </w:rPr>
        <w:t xml:space="preserve">that </w:t>
      </w:r>
      <w:r w:rsidR="00122E8B">
        <w:rPr>
          <w:b/>
          <w:bCs/>
          <w:lang w:eastAsia="zh-CN"/>
        </w:rPr>
        <w:t>it cannot perform</w:t>
      </w:r>
      <w:r w:rsidRPr="001D034C">
        <w:rPr>
          <w:b/>
          <w:bCs/>
          <w:lang w:eastAsia="zh-CN"/>
        </w:rPr>
        <w:t xml:space="preserve"> simultaneous uplink transmission between </w:t>
      </w:r>
      <w:r w:rsidR="00122E8B">
        <w:rPr>
          <w:b/>
          <w:bCs/>
          <w:lang w:eastAsia="zh-CN"/>
        </w:rPr>
        <w:t>uplink carriers</w:t>
      </w:r>
      <w:r w:rsidR="00122E8B" w:rsidRPr="001D034C">
        <w:rPr>
          <w:b/>
          <w:bCs/>
          <w:lang w:eastAsia="zh-CN"/>
        </w:rPr>
        <w:t xml:space="preserve"> </w:t>
      </w:r>
      <w:r w:rsidRPr="001D034C">
        <w:rPr>
          <w:b/>
          <w:bCs/>
          <w:lang w:eastAsia="zh-CN"/>
        </w:rPr>
        <w:t>in a supported band combination</w:t>
      </w:r>
      <w:r w:rsidRPr="001D034C">
        <w:rPr>
          <w:b/>
          <w:lang w:eastAsia="zh-CN"/>
        </w:rPr>
        <w:t xml:space="preserve">. This </w:t>
      </w:r>
      <w:r w:rsidR="00122E8B">
        <w:rPr>
          <w:b/>
          <w:lang w:eastAsia="zh-CN"/>
        </w:rPr>
        <w:t xml:space="preserve">signaling should be </w:t>
      </w:r>
      <w:r w:rsidRPr="001D034C">
        <w:rPr>
          <w:b/>
          <w:lang w:eastAsia="zh-CN"/>
        </w:rPr>
        <w:t>allowed for band combinations</w:t>
      </w:r>
      <w:r>
        <w:rPr>
          <w:b/>
          <w:lang w:eastAsia="zh-CN"/>
        </w:rPr>
        <w:t xml:space="preserve"> where </w:t>
      </w:r>
      <w:r w:rsidRPr="001D034C">
        <w:rPr>
          <w:b/>
          <w:lang w:eastAsia="zh-CN"/>
        </w:rPr>
        <w:t>UEs cannot reasonably be expected to support si</w:t>
      </w:r>
      <w:r>
        <w:rPr>
          <w:b/>
          <w:lang w:eastAsia="zh-CN"/>
        </w:rPr>
        <w:t>multaneous uplink transmissions</w:t>
      </w:r>
      <w:r w:rsidR="00276AC3" w:rsidRPr="00276AC3">
        <w:rPr>
          <w:b/>
          <w:lang w:eastAsia="zh-CN"/>
        </w:rPr>
        <w:t xml:space="preserve"> </w:t>
      </w:r>
      <w:r w:rsidR="00276AC3">
        <w:rPr>
          <w:b/>
          <w:lang w:eastAsia="zh-CN"/>
        </w:rPr>
        <w:t>without serious performance degradation</w:t>
      </w:r>
      <w:r w:rsidRPr="001D034C">
        <w:rPr>
          <w:b/>
          <w:lang w:eastAsia="zh-CN"/>
        </w:rPr>
        <w:t xml:space="preserve">. By default the network assumes that the UE supports simultaneous uplink transmission on all the UL carriers of </w:t>
      </w:r>
      <w:r>
        <w:rPr>
          <w:b/>
          <w:lang w:eastAsia="zh-CN"/>
        </w:rPr>
        <w:t>a</w:t>
      </w:r>
      <w:r w:rsidRPr="001D034C">
        <w:rPr>
          <w:b/>
          <w:lang w:eastAsia="zh-CN"/>
        </w:rPr>
        <w:t xml:space="preserve"> band combination</w:t>
      </w:r>
      <w:r>
        <w:rPr>
          <w:b/>
          <w:lang w:eastAsia="zh-CN"/>
        </w:rPr>
        <w:t xml:space="preserve"> unless the network receives </w:t>
      </w:r>
      <w:r w:rsidR="00122E8B">
        <w:rPr>
          <w:b/>
          <w:lang w:eastAsia="zh-CN"/>
        </w:rPr>
        <w:t xml:space="preserve">signaling </w:t>
      </w:r>
      <w:r>
        <w:rPr>
          <w:b/>
          <w:lang w:eastAsia="zh-CN"/>
        </w:rPr>
        <w:t>from the UE</w:t>
      </w:r>
      <w:r w:rsidR="00122E8B">
        <w:rPr>
          <w:b/>
          <w:lang w:eastAsia="zh-CN"/>
        </w:rPr>
        <w:t xml:space="preserve"> telling otherwise</w:t>
      </w:r>
      <w:r>
        <w:rPr>
          <w:b/>
          <w:lang w:eastAsia="zh-CN"/>
        </w:rPr>
        <w:t>.</w:t>
      </w:r>
    </w:p>
    <w:p w14:paraId="06FBF6CA" w14:textId="77777777" w:rsidR="001D034C" w:rsidRPr="001D034C" w:rsidRDefault="001D034C" w:rsidP="00521F3D">
      <w:pPr>
        <w:rPr>
          <w:lang w:val="en-US" w:eastAsia="zh-CN"/>
        </w:rPr>
      </w:pPr>
    </w:p>
    <w:p w14:paraId="6EFA4CCA" w14:textId="77777777" w:rsidR="00E35277" w:rsidRDefault="00E35277" w:rsidP="00521F3D">
      <w:pPr>
        <w:rPr>
          <w:lang w:eastAsia="zh-CN"/>
        </w:rPr>
      </w:pPr>
      <w:r>
        <w:rPr>
          <w:lang w:eastAsia="zh-CN"/>
        </w:rPr>
        <w:t xml:space="preserve"> </w:t>
      </w:r>
    </w:p>
    <w:p w14:paraId="1360D620" w14:textId="77777777" w:rsidR="00521F3D" w:rsidRPr="00521F3D" w:rsidRDefault="00E35277" w:rsidP="00521F3D">
      <w:pPr>
        <w:rPr>
          <w:lang w:eastAsia="zh-CN"/>
        </w:rPr>
      </w:pPr>
      <w:r>
        <w:rPr>
          <w:lang w:eastAsia="zh-CN"/>
        </w:rPr>
        <w:t xml:space="preserve"> </w:t>
      </w:r>
      <w:r w:rsidR="00521F3D">
        <w:rPr>
          <w:lang w:eastAsia="zh-CN"/>
        </w:rPr>
        <w:t xml:space="preserve"> </w:t>
      </w:r>
    </w:p>
    <w:p w14:paraId="05033D1B" w14:textId="77777777" w:rsidR="009374E6" w:rsidRPr="00CE24ED" w:rsidRDefault="009374E6" w:rsidP="00CE24ED">
      <w:pPr>
        <w:rPr>
          <w:lang w:val="en-US"/>
        </w:rPr>
      </w:pPr>
    </w:p>
    <w:p w14:paraId="684BE01D" w14:textId="77777777" w:rsidR="00A508B2" w:rsidRPr="00CE24ED" w:rsidRDefault="00A508B2" w:rsidP="00CE24ED">
      <w:pPr>
        <w:rPr>
          <w:lang w:val="en-US"/>
        </w:rPr>
      </w:pPr>
    </w:p>
    <w:p w14:paraId="41E1B84A" w14:textId="77777777" w:rsidR="00D21DBC" w:rsidRPr="00CE24ED" w:rsidRDefault="00D21DBC" w:rsidP="00D21DBC">
      <w:pPr>
        <w:rPr>
          <w:lang w:val="en-US"/>
        </w:rPr>
      </w:pPr>
    </w:p>
    <w:p w14:paraId="0B67BD1D" w14:textId="77777777" w:rsidR="00A72E13" w:rsidRPr="00BC2E11" w:rsidRDefault="00A72E13" w:rsidP="00A72E13">
      <w:pPr>
        <w:rPr>
          <w:lang w:val="en-US"/>
        </w:rPr>
      </w:pPr>
    </w:p>
    <w:p w14:paraId="25CEA6ED" w14:textId="77777777" w:rsidR="00A72E13" w:rsidRPr="00A72E13" w:rsidRDefault="00A72E13" w:rsidP="00A72E13">
      <w:pPr>
        <w:rPr>
          <w:lang w:val="en-US"/>
        </w:rPr>
      </w:pPr>
      <w:r w:rsidRPr="00A72E13">
        <w:rPr>
          <w:rFonts w:hint="eastAsia"/>
          <w:lang w:val="en-US"/>
        </w:rPr>
        <w:t xml:space="preserve"> </w:t>
      </w:r>
    </w:p>
    <w:p w14:paraId="03E69E14" w14:textId="77777777" w:rsidR="00A72E13" w:rsidRPr="00A72E13" w:rsidRDefault="00A72E13" w:rsidP="00A72E13">
      <w:pPr>
        <w:rPr>
          <w:lang w:val="en-US" w:eastAsia="zh-CN"/>
        </w:rPr>
      </w:pPr>
    </w:p>
    <w:p w14:paraId="414B1FC9" w14:textId="77777777" w:rsidR="00A508B2" w:rsidRPr="00A72E13" w:rsidRDefault="00CC1FAC" w:rsidP="00A72E13">
      <w:pPr>
        <w:rPr>
          <w:lang w:eastAsia="zh-CN"/>
        </w:rPr>
      </w:pPr>
      <w:r w:rsidRPr="00A72E13">
        <w:rPr>
          <w:lang w:eastAsia="zh-CN"/>
        </w:rPr>
        <w:t xml:space="preserve"> </w:t>
      </w:r>
    </w:p>
    <w:p w14:paraId="7A0F3689" w14:textId="77777777" w:rsidR="00120111" w:rsidRPr="00A72E13" w:rsidRDefault="00120111" w:rsidP="007871A3">
      <w:pPr>
        <w:rPr>
          <w:lang w:val="en-US" w:eastAsia="zh-CN"/>
        </w:rPr>
      </w:pPr>
    </w:p>
    <w:p w14:paraId="34AC21C7" w14:textId="77777777" w:rsidR="00ED2B75" w:rsidRPr="00120111" w:rsidRDefault="00ED2B75" w:rsidP="00ED2B75">
      <w:pPr>
        <w:rPr>
          <w:lang w:eastAsia="zh-CN"/>
        </w:rPr>
      </w:pPr>
    </w:p>
    <w:p w14:paraId="4A989A72" w14:textId="77777777" w:rsidR="004E6F90" w:rsidRPr="00EF02C8" w:rsidRDefault="004E6F90" w:rsidP="00EF02C8">
      <w:pPr>
        <w:rPr>
          <w:lang w:val="en-US" w:eastAsia="zh-CN"/>
        </w:rPr>
      </w:pPr>
    </w:p>
    <w:p w14:paraId="5B69E85F" w14:textId="77777777" w:rsidR="00D064A8" w:rsidRPr="00D064A8" w:rsidRDefault="00EF02C8" w:rsidP="00D064A8">
      <w:pPr>
        <w:rPr>
          <w:lang w:eastAsia="zh-CN"/>
        </w:rPr>
      </w:pPr>
      <w:r>
        <w:rPr>
          <w:lang w:eastAsia="zh-CN"/>
        </w:rPr>
        <w:t xml:space="preserve"> </w:t>
      </w:r>
    </w:p>
    <w:p w14:paraId="09046001" w14:textId="77777777" w:rsidR="00D064A8" w:rsidRPr="00F47212" w:rsidRDefault="00D064A8" w:rsidP="00D064A8">
      <w:pPr>
        <w:rPr>
          <w:lang w:val="en-US"/>
        </w:rPr>
      </w:pPr>
    </w:p>
    <w:p w14:paraId="07E3B187" w14:textId="77777777" w:rsidR="00F47212" w:rsidRPr="00F47212" w:rsidRDefault="00F47212" w:rsidP="00F47212">
      <w:pPr>
        <w:rPr>
          <w:lang w:val="en-US"/>
        </w:rPr>
      </w:pPr>
    </w:p>
    <w:p w14:paraId="451E2D22" w14:textId="77777777" w:rsidR="00F47212" w:rsidRPr="00F47212" w:rsidRDefault="00F47212" w:rsidP="00F47212">
      <w:pPr>
        <w:rPr>
          <w:lang w:val="en-US"/>
        </w:rPr>
      </w:pPr>
    </w:p>
    <w:p w14:paraId="31B647D2" w14:textId="77777777" w:rsidR="00F47212" w:rsidRPr="00F47212" w:rsidRDefault="00F47212" w:rsidP="00F47212">
      <w:pPr>
        <w:rPr>
          <w:lang w:val="en-US"/>
        </w:rPr>
      </w:pPr>
    </w:p>
    <w:p w14:paraId="38EE0E4B" w14:textId="77777777" w:rsidR="00F50728" w:rsidRPr="00F47212" w:rsidRDefault="00F50728" w:rsidP="00F50728"/>
    <w:p w14:paraId="1FA72645" w14:textId="77777777" w:rsidR="00044BBA" w:rsidRPr="00044BBA" w:rsidRDefault="00F50728" w:rsidP="00044BBA">
      <w:r>
        <w:t xml:space="preserve"> </w:t>
      </w:r>
    </w:p>
    <w:p w14:paraId="6A73E26E" w14:textId="77777777" w:rsidR="00A508B2" w:rsidRPr="00044BBA" w:rsidRDefault="00A508B2" w:rsidP="00044BBA">
      <w:pPr>
        <w:rPr>
          <w:lang w:val="en-US"/>
        </w:rPr>
      </w:pPr>
    </w:p>
    <w:p w14:paraId="7AC28D18" w14:textId="77777777" w:rsidR="00044BBA" w:rsidRPr="00044BBA" w:rsidRDefault="00044BBA" w:rsidP="00044BBA">
      <w:pPr>
        <w:rPr>
          <w:lang w:val="en-US"/>
        </w:rPr>
      </w:pPr>
    </w:p>
    <w:p w14:paraId="14ABCA95" w14:textId="77777777" w:rsidR="00DD5F7D" w:rsidRPr="00044BBA" w:rsidRDefault="00DD5F7D" w:rsidP="00DD5F7D"/>
    <w:p w14:paraId="1D876928" w14:textId="77777777" w:rsidR="006D6B31" w:rsidRPr="00271320" w:rsidRDefault="00281F51" w:rsidP="00271320">
      <w:r>
        <w:t xml:space="preserve"> </w:t>
      </w:r>
      <w:r w:rsidR="00D243B4">
        <w:t xml:space="preserve"> </w:t>
      </w:r>
      <w:r w:rsidR="00EE085D">
        <w:t xml:space="preserve"> </w:t>
      </w:r>
      <w:r w:rsidR="006D6B31">
        <w:t xml:space="preserve"> </w:t>
      </w:r>
    </w:p>
    <w:p w14:paraId="6ED9F1C1" w14:textId="77777777" w:rsidR="006D6B31" w:rsidRDefault="006D6B31"/>
    <w:sectPr w:rsidR="006D6B31">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79D1E" w14:textId="77777777" w:rsidR="00A73758" w:rsidRDefault="00A73758">
      <w:pPr>
        <w:spacing w:after="0"/>
      </w:pPr>
      <w:r>
        <w:separator/>
      </w:r>
    </w:p>
  </w:endnote>
  <w:endnote w:type="continuationSeparator" w:id="0">
    <w:p w14:paraId="7D66C1C6" w14:textId="77777777" w:rsidR="00A73758" w:rsidRDefault="00A73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D8277" w14:textId="77777777" w:rsidR="00A73758" w:rsidRDefault="00A73758">
      <w:pPr>
        <w:spacing w:after="0"/>
      </w:pPr>
      <w:r>
        <w:separator/>
      </w:r>
    </w:p>
  </w:footnote>
  <w:footnote w:type="continuationSeparator" w:id="0">
    <w:p w14:paraId="7043D230" w14:textId="77777777" w:rsidR="00A73758" w:rsidRDefault="00A737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3A2FC" w14:textId="3E58A4D7" w:rsidR="00A508B2" w:rsidRDefault="00CC1FAC">
    <w:r>
      <w:t xml:space="preserve">Page </w:t>
    </w:r>
    <w:r>
      <w:fldChar w:fldCharType="begin"/>
    </w:r>
    <w:r>
      <w:instrText>PAGE</w:instrText>
    </w:r>
    <w:r>
      <w:fldChar w:fldCharType="separate"/>
    </w:r>
    <w:r w:rsidR="00CF1916">
      <w:rPr>
        <w:noProof/>
      </w:rPr>
      <w:t>-1879048044</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644B81"/>
    <w:multiLevelType w:val="hybridMultilevel"/>
    <w:tmpl w:val="D4323420"/>
    <w:lvl w:ilvl="0" w:tplc="3DAEA85C">
      <w:start w:val="1"/>
      <w:numFmt w:val="bullet"/>
      <w:lvlText w:val="•"/>
      <w:lvlJc w:val="left"/>
      <w:pPr>
        <w:tabs>
          <w:tab w:val="num" w:pos="720"/>
        </w:tabs>
        <w:ind w:left="720" w:hanging="360"/>
      </w:pPr>
      <w:rPr>
        <w:rFonts w:ascii="SimSun" w:hAnsi="SimSun" w:hint="default"/>
      </w:rPr>
    </w:lvl>
    <w:lvl w:ilvl="1" w:tplc="42588E68">
      <w:start w:val="127"/>
      <w:numFmt w:val="bullet"/>
      <w:lvlText w:val="–"/>
      <w:lvlJc w:val="left"/>
      <w:pPr>
        <w:tabs>
          <w:tab w:val="num" w:pos="1440"/>
        </w:tabs>
        <w:ind w:left="1440" w:hanging="360"/>
      </w:pPr>
      <w:rPr>
        <w:rFonts w:ascii="SimSun" w:hAnsi="SimSun" w:hint="default"/>
      </w:rPr>
    </w:lvl>
    <w:lvl w:ilvl="2" w:tplc="A8F8E5A8">
      <w:start w:val="1"/>
      <w:numFmt w:val="bullet"/>
      <w:lvlText w:val="•"/>
      <w:lvlJc w:val="left"/>
      <w:pPr>
        <w:tabs>
          <w:tab w:val="num" w:pos="2160"/>
        </w:tabs>
        <w:ind w:left="2160" w:hanging="360"/>
      </w:pPr>
      <w:rPr>
        <w:rFonts w:ascii="SimSun" w:hAnsi="SimSun" w:hint="default"/>
      </w:rPr>
    </w:lvl>
    <w:lvl w:ilvl="3" w:tplc="E74CE350" w:tentative="1">
      <w:start w:val="1"/>
      <w:numFmt w:val="bullet"/>
      <w:lvlText w:val="•"/>
      <w:lvlJc w:val="left"/>
      <w:pPr>
        <w:tabs>
          <w:tab w:val="num" w:pos="2880"/>
        </w:tabs>
        <w:ind w:left="2880" w:hanging="360"/>
      </w:pPr>
      <w:rPr>
        <w:rFonts w:ascii="SimSun" w:hAnsi="SimSun" w:hint="default"/>
      </w:rPr>
    </w:lvl>
    <w:lvl w:ilvl="4" w:tplc="01963944" w:tentative="1">
      <w:start w:val="1"/>
      <w:numFmt w:val="bullet"/>
      <w:lvlText w:val="•"/>
      <w:lvlJc w:val="left"/>
      <w:pPr>
        <w:tabs>
          <w:tab w:val="num" w:pos="3600"/>
        </w:tabs>
        <w:ind w:left="3600" w:hanging="360"/>
      </w:pPr>
      <w:rPr>
        <w:rFonts w:ascii="SimSun" w:hAnsi="SimSun" w:hint="default"/>
      </w:rPr>
    </w:lvl>
    <w:lvl w:ilvl="5" w:tplc="2E7491B6" w:tentative="1">
      <w:start w:val="1"/>
      <w:numFmt w:val="bullet"/>
      <w:lvlText w:val="•"/>
      <w:lvlJc w:val="left"/>
      <w:pPr>
        <w:tabs>
          <w:tab w:val="num" w:pos="4320"/>
        </w:tabs>
        <w:ind w:left="4320" w:hanging="360"/>
      </w:pPr>
      <w:rPr>
        <w:rFonts w:ascii="SimSun" w:hAnsi="SimSun" w:hint="default"/>
      </w:rPr>
    </w:lvl>
    <w:lvl w:ilvl="6" w:tplc="67AEE064" w:tentative="1">
      <w:start w:val="1"/>
      <w:numFmt w:val="bullet"/>
      <w:lvlText w:val="•"/>
      <w:lvlJc w:val="left"/>
      <w:pPr>
        <w:tabs>
          <w:tab w:val="num" w:pos="5040"/>
        </w:tabs>
        <w:ind w:left="5040" w:hanging="360"/>
      </w:pPr>
      <w:rPr>
        <w:rFonts w:ascii="SimSun" w:hAnsi="SimSun" w:hint="default"/>
      </w:rPr>
    </w:lvl>
    <w:lvl w:ilvl="7" w:tplc="16D8B498" w:tentative="1">
      <w:start w:val="1"/>
      <w:numFmt w:val="bullet"/>
      <w:lvlText w:val="•"/>
      <w:lvlJc w:val="left"/>
      <w:pPr>
        <w:tabs>
          <w:tab w:val="num" w:pos="5760"/>
        </w:tabs>
        <w:ind w:left="5760" w:hanging="360"/>
      </w:pPr>
      <w:rPr>
        <w:rFonts w:ascii="SimSun" w:hAnsi="SimSun" w:hint="default"/>
      </w:rPr>
    </w:lvl>
    <w:lvl w:ilvl="8" w:tplc="AA70FAF6"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7" w15:restartNumberingAfterBreak="0">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FD7919"/>
    <w:multiLevelType w:val="hybridMultilevel"/>
    <w:tmpl w:val="269A3B14"/>
    <w:lvl w:ilvl="0" w:tplc="B6125B26">
      <w:start w:val="1"/>
      <w:numFmt w:val="bullet"/>
      <w:lvlText w:val="•"/>
      <w:lvlJc w:val="left"/>
      <w:pPr>
        <w:tabs>
          <w:tab w:val="num" w:pos="720"/>
        </w:tabs>
        <w:ind w:left="720" w:hanging="360"/>
      </w:pPr>
      <w:rPr>
        <w:rFonts w:ascii="SimSun" w:hAnsi="SimSun" w:hint="default"/>
      </w:rPr>
    </w:lvl>
    <w:lvl w:ilvl="1" w:tplc="1BD64BD4">
      <w:start w:val="127"/>
      <w:numFmt w:val="bullet"/>
      <w:lvlText w:val="–"/>
      <w:lvlJc w:val="left"/>
      <w:pPr>
        <w:tabs>
          <w:tab w:val="num" w:pos="1440"/>
        </w:tabs>
        <w:ind w:left="1440" w:hanging="360"/>
      </w:pPr>
      <w:rPr>
        <w:rFonts w:ascii="SimSun" w:hAnsi="SimSun" w:hint="default"/>
      </w:rPr>
    </w:lvl>
    <w:lvl w:ilvl="2" w:tplc="9B3CF444">
      <w:start w:val="127"/>
      <w:numFmt w:val="bullet"/>
      <w:lvlText w:val="•"/>
      <w:lvlJc w:val="left"/>
      <w:pPr>
        <w:tabs>
          <w:tab w:val="num" w:pos="2160"/>
        </w:tabs>
        <w:ind w:left="2160" w:hanging="360"/>
      </w:pPr>
      <w:rPr>
        <w:rFonts w:ascii="SimSun" w:hAnsi="SimSun" w:hint="default"/>
      </w:rPr>
    </w:lvl>
    <w:lvl w:ilvl="3" w:tplc="84C2ABEA" w:tentative="1">
      <w:start w:val="1"/>
      <w:numFmt w:val="bullet"/>
      <w:lvlText w:val="•"/>
      <w:lvlJc w:val="left"/>
      <w:pPr>
        <w:tabs>
          <w:tab w:val="num" w:pos="2880"/>
        </w:tabs>
        <w:ind w:left="2880" w:hanging="360"/>
      </w:pPr>
      <w:rPr>
        <w:rFonts w:ascii="SimSun" w:hAnsi="SimSun" w:hint="default"/>
      </w:rPr>
    </w:lvl>
    <w:lvl w:ilvl="4" w:tplc="D51C12A8" w:tentative="1">
      <w:start w:val="1"/>
      <w:numFmt w:val="bullet"/>
      <w:lvlText w:val="•"/>
      <w:lvlJc w:val="left"/>
      <w:pPr>
        <w:tabs>
          <w:tab w:val="num" w:pos="3600"/>
        </w:tabs>
        <w:ind w:left="3600" w:hanging="360"/>
      </w:pPr>
      <w:rPr>
        <w:rFonts w:ascii="SimSun" w:hAnsi="SimSun" w:hint="default"/>
      </w:rPr>
    </w:lvl>
    <w:lvl w:ilvl="5" w:tplc="1EA893E8" w:tentative="1">
      <w:start w:val="1"/>
      <w:numFmt w:val="bullet"/>
      <w:lvlText w:val="•"/>
      <w:lvlJc w:val="left"/>
      <w:pPr>
        <w:tabs>
          <w:tab w:val="num" w:pos="4320"/>
        </w:tabs>
        <w:ind w:left="4320" w:hanging="360"/>
      </w:pPr>
      <w:rPr>
        <w:rFonts w:ascii="SimSun" w:hAnsi="SimSun" w:hint="default"/>
      </w:rPr>
    </w:lvl>
    <w:lvl w:ilvl="6" w:tplc="BF140BBE" w:tentative="1">
      <w:start w:val="1"/>
      <w:numFmt w:val="bullet"/>
      <w:lvlText w:val="•"/>
      <w:lvlJc w:val="left"/>
      <w:pPr>
        <w:tabs>
          <w:tab w:val="num" w:pos="5040"/>
        </w:tabs>
        <w:ind w:left="5040" w:hanging="360"/>
      </w:pPr>
      <w:rPr>
        <w:rFonts w:ascii="SimSun" w:hAnsi="SimSun" w:hint="default"/>
      </w:rPr>
    </w:lvl>
    <w:lvl w:ilvl="7" w:tplc="C3A630E6" w:tentative="1">
      <w:start w:val="1"/>
      <w:numFmt w:val="bullet"/>
      <w:lvlText w:val="•"/>
      <w:lvlJc w:val="left"/>
      <w:pPr>
        <w:tabs>
          <w:tab w:val="num" w:pos="5760"/>
        </w:tabs>
        <w:ind w:left="5760" w:hanging="360"/>
      </w:pPr>
      <w:rPr>
        <w:rFonts w:ascii="SimSun" w:hAnsi="SimSun" w:hint="default"/>
      </w:rPr>
    </w:lvl>
    <w:lvl w:ilvl="8" w:tplc="5F0CE6C0"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Microsoft YaHei" w:hAnsi="Microsoft YaHei"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26"/>
  </w:num>
  <w:num w:numId="4">
    <w:abstractNumId w:val="18"/>
  </w:num>
  <w:num w:numId="5">
    <w:abstractNumId w:val="7"/>
  </w:num>
  <w:num w:numId="6">
    <w:abstractNumId w:val="24"/>
  </w:num>
  <w:num w:numId="7">
    <w:abstractNumId w:val="11"/>
  </w:num>
  <w:num w:numId="8">
    <w:abstractNumId w:val="20"/>
  </w:num>
  <w:num w:numId="9">
    <w:abstractNumId w:val="10"/>
  </w:num>
  <w:num w:numId="10">
    <w:abstractNumId w:val="6"/>
  </w:num>
  <w:num w:numId="11">
    <w:abstractNumId w:val="25"/>
  </w:num>
  <w:num w:numId="12">
    <w:abstractNumId w:val="4"/>
  </w:num>
  <w:num w:numId="13">
    <w:abstractNumId w:val="22"/>
  </w:num>
  <w:num w:numId="14">
    <w:abstractNumId w:val="21"/>
  </w:num>
  <w:num w:numId="15">
    <w:abstractNumId w:val="3"/>
  </w:num>
  <w:num w:numId="16">
    <w:abstractNumId w:val="16"/>
  </w:num>
  <w:num w:numId="17">
    <w:abstractNumId w:val="8"/>
  </w:num>
  <w:num w:numId="18">
    <w:abstractNumId w:val="2"/>
  </w:num>
  <w:num w:numId="19">
    <w:abstractNumId w:val="17"/>
  </w:num>
  <w:num w:numId="20">
    <w:abstractNumId w:val="28"/>
  </w:num>
  <w:num w:numId="21">
    <w:abstractNumId w:val="23"/>
  </w:num>
  <w:num w:numId="22">
    <w:abstractNumId w:val="27"/>
  </w:num>
  <w:num w:numId="23">
    <w:abstractNumId w:val="9"/>
  </w:num>
  <w:num w:numId="24">
    <w:abstractNumId w:val="15"/>
  </w:num>
  <w:num w:numId="25">
    <w:abstractNumId w:val="0"/>
  </w:num>
  <w:num w:numId="26">
    <w:abstractNumId w:val="1"/>
  </w:num>
  <w:num w:numId="27">
    <w:abstractNumId w:val="12"/>
  </w:num>
  <w:num w:numId="28">
    <w:abstractNumId w:val="5"/>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44BBA"/>
    <w:rsid w:val="00120111"/>
    <w:rsid w:val="00122E8B"/>
    <w:rsid w:val="00190BE5"/>
    <w:rsid w:val="001B5130"/>
    <w:rsid w:val="001D034C"/>
    <w:rsid w:val="001E2BBB"/>
    <w:rsid w:val="00271320"/>
    <w:rsid w:val="00276AC3"/>
    <w:rsid w:val="00281F51"/>
    <w:rsid w:val="00350176"/>
    <w:rsid w:val="00350971"/>
    <w:rsid w:val="003B683D"/>
    <w:rsid w:val="003C111B"/>
    <w:rsid w:val="004E6F90"/>
    <w:rsid w:val="00521F3D"/>
    <w:rsid w:val="00533E8A"/>
    <w:rsid w:val="00595DA4"/>
    <w:rsid w:val="00612FEC"/>
    <w:rsid w:val="006D6B31"/>
    <w:rsid w:val="007345A0"/>
    <w:rsid w:val="00747B4F"/>
    <w:rsid w:val="00767E30"/>
    <w:rsid w:val="007871A3"/>
    <w:rsid w:val="007B2D1D"/>
    <w:rsid w:val="00814A22"/>
    <w:rsid w:val="00916089"/>
    <w:rsid w:val="009374E6"/>
    <w:rsid w:val="00A13D97"/>
    <w:rsid w:val="00A508B2"/>
    <w:rsid w:val="00A72E13"/>
    <w:rsid w:val="00A73758"/>
    <w:rsid w:val="00BC2E11"/>
    <w:rsid w:val="00C11111"/>
    <w:rsid w:val="00C14F3A"/>
    <w:rsid w:val="00C2468B"/>
    <w:rsid w:val="00CC1FAC"/>
    <w:rsid w:val="00CE24ED"/>
    <w:rsid w:val="00CF1916"/>
    <w:rsid w:val="00CF2D4E"/>
    <w:rsid w:val="00D064A8"/>
    <w:rsid w:val="00D21DBC"/>
    <w:rsid w:val="00D243B4"/>
    <w:rsid w:val="00DD5F7D"/>
    <w:rsid w:val="00E35277"/>
    <w:rsid w:val="00E532C5"/>
    <w:rsid w:val="00ED2B75"/>
    <w:rsid w:val="00EE085D"/>
    <w:rsid w:val="00EF02C8"/>
    <w:rsid w:val="00F277C6"/>
    <w:rsid w:val="00F47212"/>
    <w:rsid w:val="00F50728"/>
    <w:rsid w:val="00FC5749"/>
    <w:rsid w:val="00FF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DF089"/>
  <w15:chartTrackingRefBased/>
  <w15:docId w15:val="{840FE5EF-9C2A-4E6F-B638-4295B50B8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basedOn w:val="Normal"/>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uiPriority w:val="99"/>
    <w:semiHidden/>
    <w:unhideWhenUsed/>
    <w:rsid w:val="00F47212"/>
    <w:rPr>
      <w:sz w:val="16"/>
      <w:szCs w:val="16"/>
    </w:rPr>
  </w:style>
  <w:style w:type="paragraph" w:styleId="CommentText">
    <w:name w:val="annotation text"/>
    <w:basedOn w:val="Normal"/>
    <w:link w:val="CommentTextChar"/>
    <w:uiPriority w:val="99"/>
    <w:semiHidden/>
    <w:unhideWhenUsed/>
    <w:rsid w:val="00F47212"/>
  </w:style>
  <w:style w:type="character" w:customStyle="1" w:styleId="CommentTextChar">
    <w:name w:val="Comment Text Char"/>
    <w:basedOn w:val="DefaultParagraphFont"/>
    <w:link w:val="CommentText"/>
    <w:uiPriority w:val="99"/>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17262431">
      <w:bodyDiv w:val="1"/>
      <w:marLeft w:val="0"/>
      <w:marRight w:val="0"/>
      <w:marTop w:val="0"/>
      <w:marBottom w:val="0"/>
      <w:divBdr>
        <w:top w:val="none" w:sz="0" w:space="0" w:color="auto"/>
        <w:left w:val="none" w:sz="0" w:space="0" w:color="auto"/>
        <w:bottom w:val="none" w:sz="0" w:space="0" w:color="auto"/>
        <w:right w:val="none" w:sz="0" w:space="0" w:color="auto"/>
      </w:divBdr>
      <w:divsChild>
        <w:div w:id="855584717">
          <w:marLeft w:val="547"/>
          <w:marRight w:val="0"/>
          <w:marTop w:val="86"/>
          <w:marBottom w:val="0"/>
          <w:divBdr>
            <w:top w:val="none" w:sz="0" w:space="0" w:color="auto"/>
            <w:left w:val="none" w:sz="0" w:space="0" w:color="auto"/>
            <w:bottom w:val="none" w:sz="0" w:space="0" w:color="auto"/>
            <w:right w:val="none" w:sz="0" w:space="0" w:color="auto"/>
          </w:divBdr>
        </w:div>
        <w:div w:id="589313858">
          <w:marLeft w:val="1166"/>
          <w:marRight w:val="0"/>
          <w:marTop w:val="67"/>
          <w:marBottom w:val="0"/>
          <w:divBdr>
            <w:top w:val="none" w:sz="0" w:space="0" w:color="auto"/>
            <w:left w:val="none" w:sz="0" w:space="0" w:color="auto"/>
            <w:bottom w:val="none" w:sz="0" w:space="0" w:color="auto"/>
            <w:right w:val="none" w:sz="0" w:space="0" w:color="auto"/>
          </w:divBdr>
        </w:div>
        <w:div w:id="1662156080">
          <w:marLeft w:val="1800"/>
          <w:marRight w:val="0"/>
          <w:marTop w:val="50"/>
          <w:marBottom w:val="0"/>
          <w:divBdr>
            <w:top w:val="none" w:sz="0" w:space="0" w:color="auto"/>
            <w:left w:val="none" w:sz="0" w:space="0" w:color="auto"/>
            <w:bottom w:val="none" w:sz="0" w:space="0" w:color="auto"/>
            <w:right w:val="none" w:sz="0" w:space="0" w:color="auto"/>
          </w:divBdr>
        </w:div>
        <w:div w:id="1822573359">
          <w:marLeft w:val="1800"/>
          <w:marRight w:val="0"/>
          <w:marTop w:val="50"/>
          <w:marBottom w:val="0"/>
          <w:divBdr>
            <w:top w:val="none" w:sz="0" w:space="0" w:color="auto"/>
            <w:left w:val="none" w:sz="0" w:space="0" w:color="auto"/>
            <w:bottom w:val="none" w:sz="0" w:space="0" w:color="auto"/>
            <w:right w:val="none" w:sz="0" w:space="0" w:color="auto"/>
          </w:divBdr>
        </w:div>
        <w:div w:id="238754921">
          <w:marLeft w:val="1800"/>
          <w:marRight w:val="0"/>
          <w:marTop w:val="50"/>
          <w:marBottom w:val="0"/>
          <w:divBdr>
            <w:top w:val="none" w:sz="0" w:space="0" w:color="auto"/>
            <w:left w:val="none" w:sz="0" w:space="0" w:color="auto"/>
            <w:bottom w:val="none" w:sz="0" w:space="0" w:color="auto"/>
            <w:right w:val="none" w:sz="0" w:space="0" w:color="auto"/>
          </w:divBdr>
        </w:div>
        <w:div w:id="668217709">
          <w:marLeft w:val="1800"/>
          <w:marRight w:val="0"/>
          <w:marTop w:val="50"/>
          <w:marBottom w:val="0"/>
          <w:divBdr>
            <w:top w:val="none" w:sz="0" w:space="0" w:color="auto"/>
            <w:left w:val="none" w:sz="0" w:space="0" w:color="auto"/>
            <w:bottom w:val="none" w:sz="0" w:space="0" w:color="auto"/>
            <w:right w:val="none" w:sz="0" w:space="0" w:color="auto"/>
          </w:divBdr>
        </w:div>
        <w:div w:id="2092509950">
          <w:marLeft w:val="1800"/>
          <w:marRight w:val="0"/>
          <w:marTop w:val="50"/>
          <w:marBottom w:val="0"/>
          <w:divBdr>
            <w:top w:val="none" w:sz="0" w:space="0" w:color="auto"/>
            <w:left w:val="none" w:sz="0" w:space="0" w:color="auto"/>
            <w:bottom w:val="none" w:sz="0" w:space="0" w:color="auto"/>
            <w:right w:val="none" w:sz="0" w:space="0" w:color="auto"/>
          </w:divBdr>
        </w:div>
        <w:div w:id="994919058">
          <w:marLeft w:val="1166"/>
          <w:marRight w:val="0"/>
          <w:marTop w:val="67"/>
          <w:marBottom w:val="0"/>
          <w:divBdr>
            <w:top w:val="none" w:sz="0" w:space="0" w:color="auto"/>
            <w:left w:val="none" w:sz="0" w:space="0" w:color="auto"/>
            <w:bottom w:val="none" w:sz="0" w:space="0" w:color="auto"/>
            <w:right w:val="none" w:sz="0" w:space="0" w:color="auto"/>
          </w:divBdr>
        </w:div>
        <w:div w:id="1969125799">
          <w:marLeft w:val="1166"/>
          <w:marRight w:val="0"/>
          <w:marTop w:val="67"/>
          <w:marBottom w:val="0"/>
          <w:divBdr>
            <w:top w:val="none" w:sz="0" w:space="0" w:color="auto"/>
            <w:left w:val="none" w:sz="0" w:space="0" w:color="auto"/>
            <w:bottom w:val="none" w:sz="0" w:space="0" w:color="auto"/>
            <w:right w:val="none" w:sz="0" w:space="0" w:color="auto"/>
          </w:divBdr>
        </w:div>
      </w:divsChild>
    </w:div>
    <w:div w:id="854539261">
      <w:bodyDiv w:val="1"/>
      <w:marLeft w:val="0"/>
      <w:marRight w:val="0"/>
      <w:marTop w:val="0"/>
      <w:marBottom w:val="0"/>
      <w:divBdr>
        <w:top w:val="none" w:sz="0" w:space="0" w:color="auto"/>
        <w:left w:val="none" w:sz="0" w:space="0" w:color="auto"/>
        <w:bottom w:val="none" w:sz="0" w:space="0" w:color="auto"/>
        <w:right w:val="none" w:sz="0" w:space="0" w:color="auto"/>
      </w:divBdr>
      <w:divsChild>
        <w:div w:id="712772444">
          <w:marLeft w:val="547"/>
          <w:marRight w:val="0"/>
          <w:marTop w:val="86"/>
          <w:marBottom w:val="0"/>
          <w:divBdr>
            <w:top w:val="none" w:sz="0" w:space="0" w:color="auto"/>
            <w:left w:val="none" w:sz="0" w:space="0" w:color="auto"/>
            <w:bottom w:val="none" w:sz="0" w:space="0" w:color="auto"/>
            <w:right w:val="none" w:sz="0" w:space="0" w:color="auto"/>
          </w:divBdr>
        </w:div>
        <w:div w:id="1202546907">
          <w:marLeft w:val="1166"/>
          <w:marRight w:val="0"/>
          <w:marTop w:val="67"/>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C043D-F9D5-4DB4-9CD7-D9EF12971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826</Words>
  <Characters>4711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David mazzarese</cp:lastModifiedBy>
  <cp:revision>4</cp:revision>
  <cp:lastPrinted>1899-12-31T16:00:00Z</cp:lastPrinted>
  <dcterms:created xsi:type="dcterms:W3CDTF">2017-09-04T13:56:00Z</dcterms:created>
  <dcterms:modified xsi:type="dcterms:W3CDTF">2017-09-04T21:17:00Z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1504559827</vt:lpwstr>
  </property>
</Properties>
</file>